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F29E" w14:textId="77777777" w:rsidR="00375B15" w:rsidRPr="00375B15" w:rsidRDefault="00375B15" w:rsidP="00375B15">
      <w:pPr>
        <w:shd w:val="clear" w:color="auto" w:fill="FFFFFF"/>
        <w:spacing w:line="540" w:lineRule="atLeast"/>
        <w:jc w:val="center"/>
        <w:outlineLvl w:val="0"/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</w:pPr>
      <w:r w:rsidRPr="00375B15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  <w:t>Ответы на вопросы по организации и проведению ЕГЭ</w:t>
      </w:r>
    </w:p>
    <w:tbl>
      <w:tblPr>
        <w:tblW w:w="13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3198"/>
      </w:tblGrid>
      <w:tr w:rsidR="00375B15" w:rsidRPr="00375B15" w14:paraId="01CDA8A6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C7570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1FB96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подать заявление на участие в ЕГЭ в текущем году после 1 февраля?</w:t>
            </w:r>
          </w:p>
        </w:tc>
      </w:tr>
      <w:tr w:rsidR="00375B15" w:rsidRPr="00375B15" w14:paraId="69D6F1E8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BA539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E490A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</w:t>
            </w:r>
          </w:p>
          <w:p w14:paraId="0194BA23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указанные лица подают в государственную экзаменационную комиссию заявления об участии в ЕГЭ, а также документы, подтверждающие отсутствие возможности подать заявления об участии в ЕГЭ до 01 февраля.</w:t>
            </w:r>
          </w:p>
          <w:p w14:paraId="41B5785A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заявления подаются не позднее чем за две недели до начала соответствующего экзамена.</w:t>
            </w:r>
          </w:p>
        </w:tc>
      </w:tr>
      <w:tr w:rsidR="00375B15" w:rsidRPr="00375B15" w14:paraId="55254EBF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B3515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064BC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обучающийся заявить для сдачи ЕГЭ математику на базовом и профильном уровнях?</w:t>
            </w:r>
          </w:p>
        </w:tc>
      </w:tr>
      <w:tr w:rsidR="00375B15" w:rsidRPr="00375B15" w14:paraId="493461A1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AD60C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249F9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14:paraId="27DCB777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службой по надзору в сфере образования и науки от 04.04.2023 № 233/552 (далее Порядок), участники ГИА подают заявления с указанием выбранных учебных предметов, уровня ЕГЭ по математике (базовый или профильный), форм (формы) ГИА (для лиц, указанных в подпункте 2 пункта 7 Порядка), языка, на котором планируется сдавать экзамены (в случае, установленном пунктом 10 Порядка), а также сроков участия в экзаменах (далее - заявления об участии в экзаменах).</w:t>
            </w:r>
          </w:p>
          <w:p w14:paraId="59771A2F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</w:t>
            </w:r>
          </w:p>
        </w:tc>
      </w:tr>
      <w:tr w:rsidR="00375B15" w:rsidRPr="00375B15" w14:paraId="1A988B2B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22E2F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2B2F6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узнать результаты ЕГЭ?</w:t>
            </w:r>
          </w:p>
        </w:tc>
      </w:tr>
      <w:tr w:rsidR="00375B15" w:rsidRPr="00375B15" w14:paraId="26FD6514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FB793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28322" w14:textId="77777777" w:rsidR="00375B15" w:rsidRPr="00375B15" w:rsidRDefault="00375B15" w:rsidP="00375B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обучающихся, выпускников прошлых лет с утвержденными председателем государственной экзаменационной комиссии результатами ГИА по учебному предмету осуществляется образовательными организациями, органами управления образованием городского округа и муниципальных районов области, в которых они были зарегистрированы на участие в ЕГЭ, министерством образования Новгородской области. Кроме того, результаты ЕГЭ региональным центром обработки </w:t>
            </w: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Новгородской области размещаются на региональном сервере:  </w:t>
            </w:r>
            <w:hyperlink r:id="rId4" w:history="1">
              <w:r w:rsidRPr="00375B15">
                <w:rPr>
                  <w:rFonts w:ascii="Times New Roman" w:eastAsia="Times New Roman" w:hAnsi="Times New Roman" w:cs="Times New Roman"/>
                  <w:color w:val="0252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https://checkege.rustest.ru</w:t>
              </w:r>
            </w:hyperlink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получения информации необходимо ввести фамилию, имя и отчество, код регистрации на ЕГЭ или номер документа, удостоверяющего личность, и регион, в котором сдавался экзамен.</w:t>
            </w:r>
          </w:p>
        </w:tc>
      </w:tr>
      <w:tr w:rsidR="00375B15" w:rsidRPr="00375B15" w14:paraId="57BC6C02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B6CCF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A1D8C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выпускник прошлых лет пересдать ЕГЭ в текущем году, если он плохо написал экзамен?</w:t>
            </w:r>
          </w:p>
        </w:tc>
      </w:tr>
      <w:tr w:rsidR="00375B15" w:rsidRPr="00375B15" w14:paraId="7782CABB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874FF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D4688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14:paraId="4A87BED3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председателя ГЭК повторно допускаются к сдаче экзамена (экзаменов) в текущем учебном году по соответствующему учебному предмету (соответствующим учебным предметам) в резервные сроки соответствующего периода проведения экзаменов:</w:t>
            </w:r>
          </w:p>
          <w:p w14:paraId="54B08263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участники ГИА, получившие на ГИА неудовлетворительный результат по одному из обязательных учебных предметов;</w:t>
            </w:r>
          </w:p>
          <w:p w14:paraId="1286F2B9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участники экзаменов, не явившиеся на экзамен по уважительным причинам (болезнь или иные обстоятельства), подтвержденным документально;</w:t>
            </w:r>
          </w:p>
          <w:p w14:paraId="5E1A661E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      </w:r>
          </w:p>
          <w:p w14:paraId="35CC6E9B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участники экзаменов, апелляции которых о нарушении Порядка апелляционной комиссией были удовлетворены;</w:t>
            </w:r>
          </w:p>
          <w:p w14:paraId="7EBC04C0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участники экзаменов, чьи результаты были аннулированы по решению председателя ГЭК в случае выявления фактов нарушений Порядка, совершенных лицами, указанными в пунктах 66 и 67 Порядка, или иными (в том числе неустановленными) лицами;</w:t>
            </w:r>
          </w:p>
          <w:p w14:paraId="0E0F2ECB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участники экзаменов,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экзаменов.</w:t>
            </w:r>
          </w:p>
        </w:tc>
      </w:tr>
      <w:tr w:rsidR="00375B15" w:rsidRPr="00375B15" w14:paraId="7E94D124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84F7B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E2316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участник ЕГЭ до экзамена, если опоздал?</w:t>
            </w:r>
          </w:p>
        </w:tc>
      </w:tr>
      <w:tr w:rsidR="00375B15" w:rsidRPr="00375B15" w14:paraId="18AFD3DF" w14:textId="77777777" w:rsidTr="00375B15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83D3A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1AA51" w14:textId="77777777" w:rsidR="00375B15" w:rsidRPr="00375B15" w:rsidRDefault="00375B15" w:rsidP="0037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участник экзамена опоздал на экзамен, начало которого устанавливается едиными расписаниями проведения ЕГЭ, ГВЭ, он допускается в ППЭ к сдаче экзамена, при этом время окончания экзамена, зафиксированное на доске (информационном стенде) организаторами в соответствии с абзацем восьмым пункта 70 Порядка, не продлевается, инструктаж, проводимый организаторами в соответствии с абзацем третьим пункта 70 Порядка, не проводится (за исключением, когда в аудитории нет других участников экзаменов), о чем сообщается участнику экзамена.</w:t>
            </w:r>
          </w:p>
        </w:tc>
      </w:tr>
    </w:tbl>
    <w:p w14:paraId="2C5FE1D0" w14:textId="77777777" w:rsidR="00375B15" w:rsidRPr="00375B15" w:rsidRDefault="00375B15" w:rsidP="00375B15">
      <w:pPr>
        <w:shd w:val="clear" w:color="auto" w:fill="FFFFFF"/>
        <w:spacing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</w:p>
    <w:p w14:paraId="7566AD32" w14:textId="77777777" w:rsidR="00375B15" w:rsidRPr="00375B15" w:rsidRDefault="00375B15" w:rsidP="00375B15">
      <w:pPr>
        <w:spacing w:after="0" w:line="240" w:lineRule="auto"/>
        <w:rPr>
          <w:rFonts w:ascii="Times New Roman" w:eastAsia="Times New Roman" w:hAnsi="Times New Roman" w:cs="Times New Roman"/>
          <w:color w:val="0252A8"/>
          <w:sz w:val="24"/>
          <w:szCs w:val="24"/>
          <w:bdr w:val="none" w:sz="0" w:space="0" w:color="auto" w:frame="1"/>
          <w:lang w:eastAsia="ru-RU"/>
        </w:rPr>
      </w:pP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"https://minobr.novreg.ru/" </w:instrText>
      </w: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7F0F3FAF" w14:textId="77777777" w:rsidR="00375B15" w:rsidRPr="00375B15" w:rsidRDefault="00375B15" w:rsidP="0037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15">
        <w:rPr>
          <w:rFonts w:ascii="Times New Roman" w:eastAsia="Times New Roman" w:hAnsi="Times New Roman" w:cs="Times New Roman"/>
          <w:noProof/>
          <w:color w:val="0252A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1731B9" wp14:editId="62DB5A46">
            <wp:extent cx="781050" cy="866775"/>
            <wp:effectExtent l="0" t="0" r="0" b="9525"/>
            <wp:docPr id="1" name="Рисунок 1" descr="Новгородская облас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городская облас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2BC4" w14:textId="77777777" w:rsidR="00375B15" w:rsidRPr="00375B15" w:rsidRDefault="00375B15" w:rsidP="00375B1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252A8"/>
          <w:sz w:val="27"/>
          <w:szCs w:val="27"/>
          <w:bdr w:val="none" w:sz="0" w:space="0" w:color="auto" w:frame="1"/>
          <w:lang w:eastAsia="ru-RU"/>
        </w:rPr>
      </w:pPr>
      <w:r w:rsidRPr="00375B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Министерство образования </w:t>
      </w:r>
    </w:p>
    <w:p w14:paraId="529AB62C" w14:textId="77777777" w:rsidR="00375B15" w:rsidRPr="00375B15" w:rsidRDefault="00375B15" w:rsidP="00375B1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252A8"/>
          <w:sz w:val="27"/>
          <w:szCs w:val="27"/>
          <w:bdr w:val="none" w:sz="0" w:space="0" w:color="auto" w:frame="1"/>
          <w:lang w:eastAsia="ru-RU"/>
        </w:rPr>
      </w:pPr>
      <w:r w:rsidRPr="00375B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Новгородской области</w:t>
      </w:r>
    </w:p>
    <w:p w14:paraId="144BAA20" w14:textId="77777777" w:rsidR="00375B15" w:rsidRPr="00375B15" w:rsidRDefault="00375B15" w:rsidP="0037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5CA55EF" w14:textId="77777777" w:rsidR="00375B15" w:rsidRPr="00375B15" w:rsidRDefault="00000000" w:rsidP="0037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21"/>
            <w:szCs w:val="21"/>
            <w:u w:val="single"/>
            <w:bdr w:val="none" w:sz="0" w:space="0" w:color="auto" w:frame="1"/>
            <w:lang w:eastAsia="ru-RU"/>
          </w:rPr>
          <w:t>+7 (8162) 50-10-70</w:t>
        </w:r>
        <w:r w:rsidR="00375B15" w:rsidRPr="00375B15">
          <w:rPr>
            <w:rFonts w:ascii="Times New Roman" w:eastAsia="Times New Roman" w:hAnsi="Times New Roman" w:cs="Times New Roman"/>
            <w:color w:val="A7A8AB"/>
            <w:sz w:val="18"/>
            <w:szCs w:val="18"/>
            <w:u w:val="single"/>
            <w:bdr w:val="none" w:sz="0" w:space="0" w:color="auto" w:frame="1"/>
            <w:lang w:eastAsia="ru-RU"/>
          </w:rPr>
          <w:t>Приемная</w:t>
        </w:r>
      </w:hyperlink>
      <w:hyperlink r:id="rId8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21"/>
            <w:szCs w:val="21"/>
            <w:u w:val="single"/>
            <w:bdr w:val="none" w:sz="0" w:space="0" w:color="auto" w:frame="1"/>
            <w:lang w:eastAsia="ru-RU"/>
          </w:rPr>
          <w:t>+7 (8162) 50-10-69</w:t>
        </w:r>
        <w:r w:rsidR="00375B15" w:rsidRPr="00375B15">
          <w:rPr>
            <w:rFonts w:ascii="Times New Roman" w:eastAsia="Times New Roman" w:hAnsi="Times New Roman" w:cs="Times New Roman"/>
            <w:color w:val="A7A8AB"/>
            <w:sz w:val="18"/>
            <w:szCs w:val="18"/>
            <w:u w:val="single"/>
            <w:bdr w:val="none" w:sz="0" w:space="0" w:color="auto" w:frame="1"/>
            <w:lang w:eastAsia="ru-RU"/>
          </w:rPr>
          <w:t>Пресс центр</w:t>
        </w:r>
      </w:hyperlink>
      <w:hyperlink r:id="rId9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21"/>
            <w:szCs w:val="21"/>
            <w:u w:val="single"/>
            <w:bdr w:val="none" w:sz="0" w:space="0" w:color="auto" w:frame="1"/>
            <w:lang w:eastAsia="ru-RU"/>
          </w:rPr>
          <w:t>minobr@edu53.ru</w:t>
        </w:r>
      </w:hyperlink>
      <w:r w:rsidR="00375B15" w:rsidRPr="00375B1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Россия, 173001, Великий Новгород, </w:t>
      </w:r>
      <w:proofErr w:type="spellStart"/>
      <w:r w:rsidR="00375B15" w:rsidRPr="00375B1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ул.Новолучанская</w:t>
      </w:r>
      <w:proofErr w:type="spellEnd"/>
      <w:r w:rsidR="00375B15" w:rsidRPr="00375B1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, д.27</w:t>
      </w:r>
    </w:p>
    <w:p w14:paraId="2E4F702A" w14:textId="77777777" w:rsidR="00375B15" w:rsidRPr="00375B15" w:rsidRDefault="00375B15" w:rsidP="00375B15">
      <w:pPr>
        <w:spacing w:line="300" w:lineRule="atLeast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  <w:r w:rsidRPr="00375B15"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  <w:t>ОСНОВНОЕ</w:t>
      </w:r>
    </w:p>
    <w:p w14:paraId="388ED9E5" w14:textId="77777777" w:rsidR="00375B15" w:rsidRPr="00375B15" w:rsidRDefault="00000000" w:rsidP="0037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Министерство</w:t>
        </w:r>
      </w:hyperlink>
      <w:hyperlink r:id="rId11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Деятельность</w:t>
        </w:r>
      </w:hyperlink>
      <w:hyperlink r:id="rId12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Документы</w:t>
        </w:r>
      </w:hyperlink>
      <w:hyperlink r:id="rId13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Новости</w:t>
        </w:r>
        <w:proofErr w:type="spellEnd"/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и </w:t>
        </w:r>
        <w:proofErr w:type="spellStart"/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медиа</w:t>
        </w:r>
      </w:hyperlink>
      <w:hyperlink r:id="rId14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Услуги</w:t>
        </w:r>
      </w:hyperlink>
      <w:hyperlink r:id="rId15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Гражданам</w:t>
        </w:r>
      </w:hyperlink>
      <w:hyperlink r:id="rId16" w:history="1"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>Обратная</w:t>
        </w:r>
        <w:proofErr w:type="spellEnd"/>
        <w:r w:rsidR="00375B15" w:rsidRPr="00375B15">
          <w:rPr>
            <w:rFonts w:ascii="Times New Roman" w:eastAsia="Times New Roman" w:hAnsi="Times New Roman" w:cs="Times New Roman"/>
            <w:color w:val="0252A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связь</w:t>
        </w:r>
      </w:hyperlink>
    </w:p>
    <w:p w14:paraId="5B49E97A" w14:textId="77777777" w:rsidR="00375B15" w:rsidRPr="00375B15" w:rsidRDefault="00375B15" w:rsidP="00375B15">
      <w:pPr>
        <w:spacing w:after="0" w:line="240" w:lineRule="auto"/>
        <w:rPr>
          <w:rFonts w:ascii="Times New Roman" w:eastAsia="Times New Roman" w:hAnsi="Times New Roman" w:cs="Times New Roman"/>
          <w:color w:val="0252A8"/>
          <w:sz w:val="24"/>
          <w:szCs w:val="24"/>
          <w:bdr w:val="none" w:sz="0" w:space="0" w:color="auto" w:frame="1"/>
          <w:lang w:eastAsia="ru-RU"/>
        </w:rPr>
      </w:pP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"https://minobr.novreg.ru/feedback/elektronnaya-priemnaya/" </w:instrText>
      </w: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D8ECB81" w14:textId="77777777" w:rsidR="00375B15" w:rsidRPr="00375B15" w:rsidRDefault="00375B15" w:rsidP="00375B15">
      <w:pPr>
        <w:spacing w:after="0" w:line="270" w:lineRule="atLeast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375B15">
        <w:rPr>
          <w:rFonts w:ascii="Times New Roman" w:eastAsia="Times New Roman" w:hAnsi="Times New Roman" w:cs="Times New Roman"/>
          <w:color w:val="0252A8"/>
          <w:spacing w:val="2"/>
          <w:sz w:val="18"/>
          <w:szCs w:val="18"/>
          <w:bdr w:val="none" w:sz="0" w:space="0" w:color="auto" w:frame="1"/>
          <w:lang w:eastAsia="ru-RU"/>
        </w:rPr>
        <w:t>Подать обращение</w:t>
      </w:r>
    </w:p>
    <w:p w14:paraId="2A21FA11" w14:textId="77777777" w:rsidR="00375B15" w:rsidRPr="00375B15" w:rsidRDefault="00375B15" w:rsidP="0037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B1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4832EB9" w14:textId="77777777" w:rsidR="00375B15" w:rsidRPr="00375B15" w:rsidRDefault="00375B15" w:rsidP="00375B15">
      <w:pPr>
        <w:spacing w:line="300" w:lineRule="atLeast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  <w:r w:rsidRPr="00375B15"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  <w:t>ДОПОЛНИТЕЛЬНОЕ</w:t>
      </w:r>
    </w:p>
    <w:p w14:paraId="67A45329" w14:textId="77777777" w:rsidR="001260BC" w:rsidRDefault="001260BC"/>
    <w:sectPr w:rsidR="001260BC" w:rsidSect="00C06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B15"/>
    <w:rsid w:val="001260BC"/>
    <w:rsid w:val="00375B15"/>
    <w:rsid w:val="00C066E8"/>
    <w:rsid w:val="00E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C38"/>
  <w15:docId w15:val="{121F3694-E7C4-4F6D-8B03-6620A4FF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1790">
              <w:marLeft w:val="0"/>
              <w:marRight w:val="0"/>
              <w:marTop w:val="6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A7A8AB"/>
                    <w:bottom w:val="none" w:sz="0" w:space="0" w:color="auto"/>
                    <w:right w:val="none" w:sz="0" w:space="0" w:color="auto"/>
                  </w:divBdr>
                  <w:divsChild>
                    <w:div w:id="15650276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A7A8AB"/>
                    <w:bottom w:val="none" w:sz="0" w:space="0" w:color="auto"/>
                    <w:right w:val="none" w:sz="0" w:space="0" w:color="auto"/>
                  </w:divBdr>
                  <w:divsChild>
                    <w:div w:id="13718076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62501069" TargetMode="External"/><Relationship Id="rId13" Type="http://schemas.openxmlformats.org/officeDocument/2006/relationships/hyperlink" Target="https://minobr.novreg.ru/medianews/new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78162501070" TargetMode="External"/><Relationship Id="rId12" Type="http://schemas.openxmlformats.org/officeDocument/2006/relationships/hyperlink" Target="https://minobr.novreg.ru/doc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nobr.novreg.ru/feedback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inobr.novreg.ru/activity/" TargetMode="External"/><Relationship Id="rId5" Type="http://schemas.openxmlformats.org/officeDocument/2006/relationships/hyperlink" Target="https://minobr.novreg.ru/" TargetMode="External"/><Relationship Id="rId15" Type="http://schemas.openxmlformats.org/officeDocument/2006/relationships/hyperlink" Target="https://minobr.novreg.ru/citizens/" TargetMode="External"/><Relationship Id="rId10" Type="http://schemas.openxmlformats.org/officeDocument/2006/relationships/hyperlink" Target="https://minobr.novreg.ru/ministry/" TargetMode="External"/><Relationship Id="rId4" Type="http://schemas.openxmlformats.org/officeDocument/2006/relationships/hyperlink" Target="https://checkege.rustest.ru/" TargetMode="External"/><Relationship Id="rId9" Type="http://schemas.openxmlformats.org/officeDocument/2006/relationships/hyperlink" Target="mailto:minobr@edu53.ru" TargetMode="External"/><Relationship Id="rId14" Type="http://schemas.openxmlformats.org/officeDocument/2006/relationships/hyperlink" Target="https://minobr.novreg.ru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Ответы на вопросы по организации и проведению ЕГЭ</vt:lpstr>
      <vt:lpstr>        Министерство образования </vt:lpstr>
      <vt:lpstr>        Новгородской области</vt:lpstr>
    </vt:vector>
  </TitlesOfParts>
  <Company>diakov.net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Valja</cp:lastModifiedBy>
  <cp:revision>2</cp:revision>
  <dcterms:created xsi:type="dcterms:W3CDTF">2024-03-12T08:57:00Z</dcterms:created>
  <dcterms:modified xsi:type="dcterms:W3CDTF">2024-03-14T04:16:00Z</dcterms:modified>
</cp:coreProperties>
</file>